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A6" w:rsidRPr="00824CAD" w:rsidRDefault="00634BA9" w:rsidP="00634BA9">
      <w:pPr>
        <w:jc w:val="center"/>
        <w:rPr>
          <w:b/>
          <w:sz w:val="28"/>
          <w:szCs w:val="28"/>
        </w:rPr>
      </w:pPr>
      <w:r w:rsidRPr="00824CAD">
        <w:rPr>
          <w:b/>
          <w:sz w:val="28"/>
          <w:szCs w:val="28"/>
        </w:rPr>
        <w:t>EM Customer Inquiry SOP</w:t>
      </w:r>
    </w:p>
    <w:p w:rsidR="00634BA9" w:rsidRDefault="00634BA9" w:rsidP="00634BA9"/>
    <w:p w:rsidR="0091256D" w:rsidRDefault="0091256D" w:rsidP="00634BA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This section's functionality is </w:t>
      </w:r>
      <w:r w:rsidR="00073A57">
        <w:rPr>
          <w:rFonts w:ascii="Calibri" w:hAnsi="Calibri" w:cs="Calibri"/>
          <w:color w:val="000000"/>
          <w:shd w:val="clear" w:color="auto" w:fill="FFFFFF"/>
        </w:rPr>
        <w:t>to capture all the customer inquiries that do not fall under the Exception types to be resolved between the different depts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073A57">
        <w:rPr>
          <w:rFonts w:ascii="Calibri" w:hAnsi="Calibri" w:cs="Calibri"/>
          <w:color w:val="000000"/>
          <w:shd w:val="clear" w:color="auto" w:fill="FFFFFF"/>
        </w:rPr>
        <w:t xml:space="preserve"> This section is for the inquiries to be handled within Customer Services dept., a channel for</w:t>
      </w:r>
      <w:r w:rsidR="009253B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441B8">
        <w:rPr>
          <w:rFonts w:ascii="Calibri" w:hAnsi="Calibri" w:cs="Calibri"/>
          <w:color w:val="000000"/>
          <w:shd w:val="clear" w:color="auto" w:fill="FFFFFF"/>
        </w:rPr>
        <w:t xml:space="preserve">CSRs to escalate </w:t>
      </w:r>
      <w:r w:rsidR="00073A57">
        <w:rPr>
          <w:rFonts w:ascii="Calibri" w:hAnsi="Calibri" w:cs="Calibri"/>
          <w:color w:val="000000"/>
          <w:shd w:val="clear" w:color="auto" w:fill="FFFFFF"/>
        </w:rPr>
        <w:t xml:space="preserve">issues to their </w:t>
      </w:r>
      <w:r w:rsidR="009253B9">
        <w:rPr>
          <w:rFonts w:ascii="Calibri" w:hAnsi="Calibri" w:cs="Calibri"/>
          <w:color w:val="000000"/>
          <w:shd w:val="clear" w:color="auto" w:fill="FFFFFF"/>
        </w:rPr>
        <w:t>supervisors, a platform to keep track of all the customer service escalations between CSRs and Sups.</w:t>
      </w:r>
    </w:p>
    <w:p w:rsidR="00073A57" w:rsidRDefault="00073A57" w:rsidP="00634BA9">
      <w:r>
        <w:rPr>
          <w:rFonts w:ascii="Calibri" w:hAnsi="Calibri" w:cs="Calibri"/>
          <w:color w:val="000000"/>
          <w:shd w:val="clear" w:color="auto" w:fill="FFFFFF"/>
        </w:rPr>
        <w:t>The website address:</w:t>
      </w:r>
    </w:p>
    <w:p w:rsidR="00073A57" w:rsidRDefault="00073A57" w:rsidP="009125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hyperlink r:id="rId5" w:history="1">
        <w:r w:rsidRPr="003B1198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</w:rPr>
          <w:t>https://exceptions.oghq.ca/</w:t>
        </w:r>
      </w:hyperlink>
    </w:p>
    <w:p w:rsidR="00073A57" w:rsidRDefault="00073A57" w:rsidP="009125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73A57" w:rsidRDefault="00073A57" w:rsidP="009125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section of Customer Inquiry includes the following two menu bars:</w:t>
      </w:r>
    </w:p>
    <w:p w:rsidR="008E79E6" w:rsidRDefault="0091256D" w:rsidP="009125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91256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253B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1) </w:t>
      </w:r>
      <w:r w:rsidRPr="0091256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Distributor's dashboard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: it </w:t>
      </w:r>
      <w:r w:rsidR="00073A5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works the same as Transaction D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ashboard</w:t>
      </w:r>
      <w:r w:rsidRPr="0091256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 Only difference</w:t>
      </w:r>
      <w:r w:rsidR="008E79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here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is, there are </w:t>
      </w:r>
      <w:r w:rsidRPr="0091256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two search fields: Distributor ID and </w:t>
      </w:r>
      <w:proofErr w:type="spellStart"/>
      <w:r w:rsidRPr="0091256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Dist</w:t>
      </w:r>
      <w:r w:rsidR="008E79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’s</w:t>
      </w:r>
      <w:proofErr w:type="spellEnd"/>
      <w:r w:rsidRPr="0091256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name.</w:t>
      </w:r>
    </w:p>
    <w:p w:rsidR="008E79E6" w:rsidRDefault="0091256D" w:rsidP="009125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1256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253B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2) </w:t>
      </w:r>
      <w:r w:rsidRPr="0091256D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Inquiries Worklist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: it </w:t>
      </w:r>
      <w:r w:rsidR="008E79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works the same as W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orklist</w:t>
      </w:r>
      <w:r w:rsidRPr="0091256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 Difference here is - there is no ticket fl</w:t>
      </w:r>
      <w:r w:rsidR="008E79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ow across departments. Only CSR and CSR Lead create and see</w:t>
      </w:r>
      <w:r w:rsidRPr="0091256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these tickets. Depending on status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,</w:t>
      </w:r>
      <w:r w:rsidRPr="0091256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tickets will go to respective tabs in this worklist 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- Open, In Progress, Pending, and Closed</w:t>
      </w:r>
      <w:r w:rsidRPr="0091256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  <w:r w:rsidRPr="0091256D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Additional flag in this work</w:t>
      </w:r>
      <w:r w:rsidRPr="0091256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list is ESCALATION.</w:t>
      </w:r>
      <w:r w:rsidRPr="0091256D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8E79E6" w:rsidRPr="009253B9" w:rsidRDefault="00D75D07" w:rsidP="0091256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9253B9">
        <w:rPr>
          <w:rFonts w:ascii="Calibri" w:eastAsia="Times New Roman" w:hAnsi="Calibri" w:cs="Calibri"/>
          <w:b/>
          <w:color w:val="000000"/>
          <w:sz w:val="24"/>
          <w:szCs w:val="24"/>
        </w:rPr>
        <w:t>How to c</w:t>
      </w:r>
      <w:r w:rsidR="008E79E6" w:rsidRPr="009253B9">
        <w:rPr>
          <w:rFonts w:ascii="Calibri" w:eastAsia="Times New Roman" w:hAnsi="Calibri" w:cs="Calibri"/>
          <w:b/>
          <w:color w:val="000000"/>
          <w:sz w:val="24"/>
          <w:szCs w:val="24"/>
        </w:rPr>
        <w:t>reate tickets:</w:t>
      </w:r>
    </w:p>
    <w:p w:rsidR="008E79E6" w:rsidRDefault="008E79E6" w:rsidP="009125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253B9" w:rsidRDefault="008E79E6" w:rsidP="008E79E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Go to Distributor’s Dashboard, enter Distributor (or Customer) ID</w:t>
      </w:r>
      <w:r w:rsidR="009441B8">
        <w:rPr>
          <w:rFonts w:ascii="Calibri" w:eastAsia="Times New Roman" w:hAnsi="Calibri" w:cs="Calibri"/>
          <w:color w:val="000000"/>
          <w:sz w:val="24"/>
          <w:szCs w:val="24"/>
        </w:rPr>
        <w:t>#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or Name and search.</w:t>
      </w:r>
      <w:r w:rsidR="0091256D" w:rsidRPr="008E79E6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="0091256D" w:rsidRPr="008E79E6">
        <w:rPr>
          <w:rFonts w:ascii="Calibri" w:eastAsia="Times New Roman" w:hAnsi="Calibri" w:cs="Calibri"/>
          <w:b/>
          <w:bCs/>
          <w:color w:val="5E327C"/>
          <w:sz w:val="24"/>
          <w:szCs w:val="24"/>
          <w:shd w:val="clear" w:color="auto" w:fill="FFFFFF"/>
        </w:rPr>
        <w:t>Not in system</w:t>
      </w:r>
      <w:r w:rsidR="0091256D" w:rsidRPr="008E79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 button will generate tickets for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potential </w:t>
      </w:r>
      <w:r w:rsidR="0091256D" w:rsidRPr="008E79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customers that are not registered distrib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utors and are not in the system</w:t>
      </w:r>
      <w:r w:rsidR="0091256D" w:rsidRPr="008E79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</w:p>
    <w:p w:rsidR="008E79E6" w:rsidRDefault="0091256D" w:rsidP="009253B9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8E79E6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8E79E6" w:rsidRDefault="008E79E6" w:rsidP="008E79E6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384853C" wp14:editId="7B58315C">
            <wp:extent cx="5189436" cy="17763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7277" cy="182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3B9" w:rsidRDefault="009253B9" w:rsidP="008E79E6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9253B9" w:rsidRDefault="009253B9" w:rsidP="008E79E6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9253B9" w:rsidRDefault="009253B9" w:rsidP="008E79E6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9253B9" w:rsidRDefault="009253B9" w:rsidP="008E79E6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9253B9" w:rsidRDefault="009253B9" w:rsidP="008E79E6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9253B9" w:rsidRDefault="009253B9" w:rsidP="008E79E6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8E79E6" w:rsidRDefault="008E79E6" w:rsidP="008E79E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lastRenderedPageBreak/>
        <w:t>Press</w:t>
      </w:r>
      <w:r w:rsidRPr="008E79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r w:rsidRPr="008E79E6">
        <w:rPr>
          <w:rFonts w:ascii="Calibri" w:eastAsia="Times New Roman" w:hAnsi="Calibri" w:cs="Calibri"/>
          <w:b/>
          <w:bCs/>
          <w:color w:val="5E327C"/>
          <w:sz w:val="36"/>
          <w:szCs w:val="36"/>
          <w:shd w:val="clear" w:color="auto" w:fill="FFFFFF"/>
        </w:rPr>
        <w:t>+</w:t>
      </w:r>
      <w:r w:rsidRPr="008E79E6">
        <w:rPr>
          <w:rFonts w:ascii="Calibri" w:eastAsia="Times New Roman" w:hAnsi="Calibri" w:cs="Calibri"/>
          <w:b/>
          <w:bCs/>
          <w:color w:val="000000"/>
          <w:sz w:val="36"/>
          <w:szCs w:val="36"/>
          <w:shd w:val="clear" w:color="auto" w:fill="FFFFFF"/>
        </w:rPr>
        <w:t> </w:t>
      </w:r>
      <w:r w:rsidRPr="008E79E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butto</w:t>
      </w:r>
      <w:r w:rsidR="009253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 will generate ticket creation and lead to the following page.</w:t>
      </w:r>
    </w:p>
    <w:p w:rsidR="009253B9" w:rsidRDefault="009253B9" w:rsidP="009253B9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8E79E6" w:rsidRDefault="008E79E6" w:rsidP="008E79E6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2F909D6" wp14:editId="0D2FCCD6">
            <wp:extent cx="4804968" cy="2519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0706" cy="253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CAD" w:rsidRPr="008E79E6" w:rsidRDefault="00824CAD" w:rsidP="008E79E6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8E79E6" w:rsidRDefault="008E79E6" w:rsidP="009125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D07959" w:rsidRDefault="00D07959" w:rsidP="00D0795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Select the type of Inquiries from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the drop-down box. If the subject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is not listed, select “Other” at the bottom of drop-down and write down the details in t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he field below. Click on Yes under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“Escalation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Needed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”</w:t>
      </w:r>
      <w:r w:rsidR="00E02D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, and set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the Due Date. U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sers can al</w:t>
      </w:r>
      <w:r w:rsidR="00E02D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ways add comments or upload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file</w:t>
      </w:r>
      <w:r w:rsidR="00E02D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when it is necessary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 Keep the ticket</w:t>
      </w:r>
      <w:r w:rsidR="00E02D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status </w:t>
      </w:r>
      <w:r w:rsidR="00E02D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Open, then click the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Submit button.</w:t>
      </w:r>
    </w:p>
    <w:p w:rsidR="00824CAD" w:rsidRDefault="00824CAD" w:rsidP="00824CAD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E02D13" w:rsidRDefault="00E02D13" w:rsidP="00E02D13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D07959" w:rsidRPr="00D07959" w:rsidRDefault="00D07959" w:rsidP="00D07959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FE3A6CA" wp14:editId="02C07531">
            <wp:extent cx="4979694" cy="23488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8494" cy="236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959" w:rsidRDefault="00D07959" w:rsidP="009125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9253B9" w:rsidRDefault="009253B9" w:rsidP="009125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E02D13" w:rsidRDefault="00E02D13" w:rsidP="0091256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</w:pPr>
    </w:p>
    <w:p w:rsidR="00E02D13" w:rsidRDefault="00E02D13" w:rsidP="0091256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</w:pPr>
    </w:p>
    <w:p w:rsidR="00E02D13" w:rsidRDefault="00E02D13" w:rsidP="0091256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</w:pPr>
    </w:p>
    <w:p w:rsidR="00824CAD" w:rsidRDefault="00824CAD" w:rsidP="0091256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</w:pPr>
    </w:p>
    <w:p w:rsidR="00D07959" w:rsidRPr="009253B9" w:rsidRDefault="009253B9" w:rsidP="0091256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</w:pPr>
      <w:r w:rsidRPr="009253B9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lastRenderedPageBreak/>
        <w:t>Where to review</w:t>
      </w:r>
      <w:r w:rsidR="00E02D13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and</w:t>
      </w:r>
      <w:r w:rsidR="00D07959" w:rsidRPr="009253B9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 xml:space="preserve"> process the ticket:</w:t>
      </w:r>
    </w:p>
    <w:p w:rsidR="009253B9" w:rsidRDefault="009253B9" w:rsidP="009125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D75D07" w:rsidRDefault="00D75D07" w:rsidP="00D75D0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D75D0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Go to Inquiries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Worklist, filter the tickets by 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call centers by searching the 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user’s prefix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, for example “CA-“, all the tickets created by CA users will be displayed. Supervisors should pa</w:t>
      </w:r>
      <w:r w:rsidR="009253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y 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attention to Inquiry Type, by whom the ticket was</w:t>
      </w:r>
      <w:r w:rsidR="009253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created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,</w:t>
      </w:r>
      <w:r w:rsidR="009253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and the Due Date. The users (both CSR and Sups) can click on </w:t>
      </w:r>
      <w:r w:rsidR="009253B9">
        <w:rPr>
          <w:noProof/>
        </w:rPr>
        <w:drawing>
          <wp:inline distT="0" distB="0" distL="0" distR="0" wp14:anchorId="6E260246" wp14:editId="6BAFFADC">
            <wp:extent cx="122308" cy="12625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64" cy="16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to edit the ticket, such as adding</w:t>
      </w:r>
      <w:r w:rsidR="009253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the new comments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or changing</w:t>
      </w:r>
      <w:r w:rsidR="009253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the ticket status.</w:t>
      </w:r>
    </w:p>
    <w:p w:rsidR="00E02D13" w:rsidRDefault="00E02D13" w:rsidP="00E02D13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D75D07" w:rsidRPr="00D75D07" w:rsidRDefault="00D75D07" w:rsidP="00D75D0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CF897AF" wp14:editId="2F6061BE">
            <wp:extent cx="5055409" cy="178505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0827" cy="17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959" w:rsidRDefault="00D07959" w:rsidP="009125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9253B9" w:rsidRDefault="009253B9" w:rsidP="0091256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824CAD" w:rsidRDefault="00824CAD" w:rsidP="0091256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</w:pPr>
    </w:p>
    <w:p w:rsidR="009253B9" w:rsidRDefault="009253B9" w:rsidP="0091256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</w:pPr>
      <w:r w:rsidRPr="00E02D13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  <w:t>Key notes:</w:t>
      </w:r>
    </w:p>
    <w:p w:rsidR="00824CAD" w:rsidRPr="00E02D13" w:rsidRDefault="00824CAD" w:rsidP="0091256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</w:rPr>
      </w:pPr>
    </w:p>
    <w:p w:rsidR="009253B9" w:rsidRDefault="003B25CC" w:rsidP="00E02D1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Both </w:t>
      </w:r>
      <w:r w:rsidR="009253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CSR and CSR Lead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users</w:t>
      </w:r>
      <w:r w:rsidR="009253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h</w:t>
      </w:r>
      <w:r w:rsidR="00E02D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ave exactly </w:t>
      </w:r>
      <w:r w:rsidR="009253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same access to EM Custo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mer Inquiries. However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,</w:t>
      </w:r>
      <w:r w:rsidR="009253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normally </w:t>
      </w:r>
      <w:r w:rsidR="009253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CSRs are to creat</w:t>
      </w:r>
      <w:r w:rsidR="00E02D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e</w:t>
      </w:r>
      <w:r w:rsidR="009253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ticket</w:t>
      </w:r>
      <w:r w:rsidR="00E02D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</w:t>
      </w:r>
      <w:r w:rsidR="009253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, and Sups r</w:t>
      </w:r>
      <w:r w:rsidR="00E02D1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eview and process the tickets that are escalated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</w:p>
    <w:p w:rsidR="00E02D13" w:rsidRDefault="003B25CC" w:rsidP="00B6270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3B25C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Due date can be set for the same day, or within 1-3 business days depending on urgency of issues. It is important that CSRs set the ticket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’s</w:t>
      </w:r>
      <w:r w:rsidRPr="003B25C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due date 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properly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and Sups check the open tickets</w:t>
      </w:r>
      <w:r w:rsidR="009441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diligently</w:t>
      </w:r>
      <w:r w:rsidR="007F17F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before the due date.</w:t>
      </w:r>
    </w:p>
    <w:p w:rsidR="003B25CC" w:rsidRDefault="00C5774C" w:rsidP="00B6270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The system give CSR users the</w:t>
      </w:r>
      <w:r w:rsidR="003B25C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options to escalate the issue, or not to es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calate but</w:t>
      </w:r>
      <w:r w:rsidR="007F17F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still create the ticket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7F17F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for </w:t>
      </w:r>
      <w:r w:rsidR="003B25C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own record.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To keep the system clean, w</w:t>
      </w:r>
      <w:r w:rsidR="007F17F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e recommend that we use this function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for internal escalations only.</w:t>
      </w:r>
    </w:p>
    <w:p w:rsidR="00C5774C" w:rsidRPr="00C5774C" w:rsidRDefault="00C5774C" w:rsidP="00C5774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C5774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The list of Customer Inquiries is to be provided in</w:t>
      </w:r>
      <w:r w:rsidR="007F17F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</w:t>
      </w:r>
      <w:r w:rsidRPr="00C5774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separate excel file. This list is not permanent and will be reviewed and edited periodically.</w:t>
      </w:r>
      <w:bookmarkStart w:id="0" w:name="_GoBack"/>
      <w:bookmarkEnd w:id="0"/>
    </w:p>
    <w:p w:rsidR="00C5774C" w:rsidRDefault="00C5774C" w:rsidP="00C5774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C5774C" w:rsidRDefault="00C5774C" w:rsidP="00C5774C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C5774C" w:rsidRPr="00C5774C" w:rsidRDefault="00C5774C" w:rsidP="00C5774C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sectPr w:rsidR="00C5774C" w:rsidRPr="00C57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CC2"/>
    <w:multiLevelType w:val="hybridMultilevel"/>
    <w:tmpl w:val="2342013C"/>
    <w:lvl w:ilvl="0" w:tplc="27985D1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A9"/>
    <w:rsid w:val="00073A57"/>
    <w:rsid w:val="003B25CC"/>
    <w:rsid w:val="00634BA9"/>
    <w:rsid w:val="007F17FC"/>
    <w:rsid w:val="00824CAD"/>
    <w:rsid w:val="00884500"/>
    <w:rsid w:val="008E79E6"/>
    <w:rsid w:val="0091256D"/>
    <w:rsid w:val="009253B9"/>
    <w:rsid w:val="009441B8"/>
    <w:rsid w:val="00C5774C"/>
    <w:rsid w:val="00CA6B3D"/>
    <w:rsid w:val="00D07959"/>
    <w:rsid w:val="00D75D07"/>
    <w:rsid w:val="00E0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4755E-AFA0-40A0-BAE8-3F2940B0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A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exceptions.oghq.ca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2021-03-27T01:57:00Z</dcterms:created>
  <dcterms:modified xsi:type="dcterms:W3CDTF">2021-03-29T10:18:00Z</dcterms:modified>
</cp:coreProperties>
</file>